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A8" w:rsidRDefault="004D60FB">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8240" behindDoc="0" locked="0" layoutInCell="1" allowOverlap="1">
                <wp:simplePos x="0" y="0"/>
                <wp:positionH relativeFrom="column">
                  <wp:posOffset>257175</wp:posOffset>
                </wp:positionH>
                <wp:positionV relativeFrom="paragraph">
                  <wp:posOffset>447675</wp:posOffset>
                </wp:positionV>
                <wp:extent cx="5565775" cy="723265"/>
                <wp:effectExtent l="0" t="0" r="0" b="444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385223" w:rsidRPr="00385223" w:rsidRDefault="004D60FB" w:rsidP="004D60FB">
                            <w:pPr>
                              <w:widowControl w:val="0"/>
                              <w:jc w:val="center"/>
                              <w:rPr>
                                <w:rFonts w:ascii="Kunstler Script" w:hAnsi="Kunstler Script"/>
                                <w:i/>
                                <w:iCs/>
                                <w:sz w:val="40"/>
                                <w:szCs w:val="40"/>
                                <w14:ligatures w14:val="none"/>
                              </w:rPr>
                            </w:pPr>
                            <w:r w:rsidRPr="00385223">
                              <w:rPr>
                                <w:rFonts w:ascii="Kunstler Script" w:hAnsi="Kunstler Script"/>
                                <w:i/>
                                <w:iCs/>
                                <w:sz w:val="40"/>
                                <w:szCs w:val="40"/>
                                <w14:ligatures w14:val="none"/>
                              </w:rPr>
                              <w:t xml:space="preserve">Tribunale Amministrativo Regionale per l’Abruzzo  </w:t>
                            </w:r>
                          </w:p>
                          <w:p w:rsidR="004D60FB" w:rsidRPr="00385223" w:rsidRDefault="004D60FB" w:rsidP="004D60FB">
                            <w:pPr>
                              <w:widowControl w:val="0"/>
                              <w:jc w:val="center"/>
                              <w:rPr>
                                <w:rFonts w:ascii="Kunstler Script" w:hAnsi="Kunstler Script"/>
                                <w:sz w:val="40"/>
                                <w:szCs w:val="40"/>
                                <w14:ligatures w14:val="none"/>
                              </w:rPr>
                            </w:pPr>
                            <w:r w:rsidRPr="00385223">
                              <w:rPr>
                                <w:rFonts w:ascii="Kunstler Script" w:hAnsi="Kunstler Script"/>
                                <w:i/>
                                <w:iCs/>
                                <w:sz w:val="40"/>
                                <w:szCs w:val="40"/>
                                <w14:ligatures w14:val="none"/>
                              </w:rPr>
                              <w:t>— L’Aquila</w:t>
                            </w:r>
                          </w:p>
                          <w:p w:rsidR="004D60FB" w:rsidRPr="004D60FB" w:rsidRDefault="004D60FB" w:rsidP="000310A8">
                            <w:pPr>
                              <w:pStyle w:val="Titolo4"/>
                              <w:keepNext/>
                              <w:rPr>
                                <w:rFonts w:ascii="Kunstler Script" w:hAnsi="Kunstler Script"/>
                                <w:sz w:val="36"/>
                                <w:szCs w:val="36"/>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0.25pt;margin-top:35.25pt;width:438.2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" filled="f" stroked="f" insetpen="t">
                <v:textbox>
                  <w:txbxContent>
                    <w:p w:rsidR="00385223" w:rsidRPr="00385223" w:rsidRDefault="004D60FB" w:rsidP="004D60FB">
                      <w:pPr>
                        <w:widowControl w:val="0"/>
                        <w:jc w:val="center"/>
                        <w:rPr>
                          <w:rFonts w:ascii="Kunstler Script" w:hAnsi="Kunstler Script"/>
                          <w:i/>
                          <w:iCs/>
                          <w:sz w:val="40"/>
                          <w:szCs w:val="40"/>
                          <w14:ligatures w14:val="none"/>
                        </w:rPr>
                      </w:pPr>
                      <w:r w:rsidRPr="00385223">
                        <w:rPr>
                          <w:rFonts w:ascii="Kunstler Script" w:hAnsi="Kunstler Script"/>
                          <w:i/>
                          <w:iCs/>
                          <w:sz w:val="40"/>
                          <w:szCs w:val="40"/>
                          <w14:ligatures w14:val="none"/>
                        </w:rPr>
                        <w:t xml:space="preserve">Tribunale Amministrativo Regionale per l’Abruzzo  </w:t>
                      </w:r>
                    </w:p>
                    <w:p w:rsidR="004D60FB" w:rsidRPr="00385223" w:rsidRDefault="004D60FB" w:rsidP="004D60FB">
                      <w:pPr>
                        <w:widowControl w:val="0"/>
                        <w:jc w:val="center"/>
                        <w:rPr>
                          <w:rFonts w:ascii="Kunstler Script" w:hAnsi="Kunstler Script"/>
                          <w:sz w:val="40"/>
                          <w:szCs w:val="40"/>
                          <w14:ligatures w14:val="none"/>
                        </w:rPr>
                      </w:pPr>
                      <w:r w:rsidRPr="00385223">
                        <w:rPr>
                          <w:rFonts w:ascii="Kunstler Script" w:hAnsi="Kunstler Script"/>
                          <w:i/>
                          <w:iCs/>
                          <w:sz w:val="40"/>
                          <w:szCs w:val="40"/>
                          <w14:ligatures w14:val="none"/>
                        </w:rPr>
                        <w:t>— L’Aquila</w:t>
                      </w:r>
                    </w:p>
                    <w:p w:rsidR="004D60FB" w:rsidRPr="004D60FB" w:rsidRDefault="004D60FB" w:rsidP="000310A8">
                      <w:pPr>
                        <w:pStyle w:val="Titolo4"/>
                        <w:keepNext/>
                        <w:rPr>
                          <w:rFonts w:ascii="Kunstler Script" w:hAnsi="Kunstler Script"/>
                          <w:sz w:val="36"/>
                          <w:szCs w:val="36"/>
                          <w14:ligatures w14:val="none"/>
                        </w:rPr>
                      </w:pP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0" distB="0" distL="114300" distR="114300" simplePos="0" relativeHeight="251660288" behindDoc="1" locked="0" layoutInCell="1" allowOverlap="1">
            <wp:simplePos x="0" y="0"/>
            <wp:positionH relativeFrom="page">
              <wp:posOffset>3570605</wp:posOffset>
            </wp:positionH>
            <wp:positionV relativeFrom="paragraph">
              <wp:posOffset>0</wp:posOffset>
            </wp:positionV>
            <wp:extent cx="410400" cy="460800"/>
            <wp:effectExtent l="0" t="0" r="8890" b="0"/>
            <wp:wrapTight wrapText="bothSides">
              <wp:wrapPolygon edited="0">
                <wp:start x="0" y="0"/>
                <wp:lineTo x="0" y="20557"/>
                <wp:lineTo x="21065" y="20557"/>
                <wp:lineTo x="21065" y="0"/>
                <wp:lineTo x="0" y="0"/>
              </wp:wrapPolygon>
            </wp:wrapTight>
            <wp:docPr id="2" name="Immagine 2" descr="a-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mblem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400" cy="460800"/>
                    </a:xfrm>
                    <a:prstGeom prst="rect">
                      <a:avLst/>
                    </a:prstGeom>
                    <a:noFill/>
                  </pic:spPr>
                </pic:pic>
              </a:graphicData>
            </a:graphic>
            <wp14:sizeRelH relativeFrom="page">
              <wp14:pctWidth>0</wp14:pctWidth>
            </wp14:sizeRelH>
            <wp14:sizeRelV relativeFrom="page">
              <wp14:pctHeight>0</wp14:pctHeight>
            </wp14:sizeRelV>
          </wp:anchor>
        </w:drawing>
      </w:r>
    </w:p>
    <w:p w:rsidR="000310A8" w:rsidRPr="000310A8" w:rsidRDefault="000310A8" w:rsidP="000310A8"/>
    <w:p w:rsidR="000310A8" w:rsidRPr="000310A8" w:rsidRDefault="000310A8" w:rsidP="000310A8"/>
    <w:p w:rsidR="000310A8" w:rsidRPr="000310A8" w:rsidRDefault="000310A8" w:rsidP="000310A8"/>
    <w:p w:rsidR="000310A8" w:rsidRPr="000310A8" w:rsidRDefault="000310A8" w:rsidP="000310A8"/>
    <w:p w:rsidR="000310A8" w:rsidRPr="000310A8" w:rsidRDefault="000310A8" w:rsidP="000310A8"/>
    <w:p w:rsidR="00385223" w:rsidRDefault="00385223" w:rsidP="00385223">
      <w:pPr>
        <w:pStyle w:val="Default"/>
      </w:pPr>
    </w:p>
    <w:p w:rsidR="000310A8" w:rsidRPr="00385223" w:rsidRDefault="00385223" w:rsidP="00385223">
      <w:pPr>
        <w:jc w:val="center"/>
        <w:rPr>
          <w:rFonts w:ascii="Garamond" w:hAnsi="Garamond"/>
          <w:sz w:val="24"/>
          <w:szCs w:val="24"/>
        </w:rPr>
      </w:pPr>
      <w:r w:rsidRPr="00385223">
        <w:rPr>
          <w:rFonts w:ascii="Garamond" w:hAnsi="Garamond"/>
          <w:b/>
          <w:bCs/>
          <w:sz w:val="24"/>
          <w:szCs w:val="24"/>
        </w:rPr>
        <w:t>CERTIFICATO DI REGOLARE ESECUZIONE</w:t>
      </w:r>
    </w:p>
    <w:p w:rsidR="00385223" w:rsidRDefault="000310A8" w:rsidP="00385223">
      <w:pPr>
        <w:pStyle w:val="Default"/>
        <w:rPr>
          <w:rFonts w:ascii="Garamond" w:hAnsi="Garamond"/>
        </w:rPr>
      </w:pPr>
      <w:r w:rsidRPr="00385223">
        <w:rPr>
          <w:rFonts w:ascii="Garamond" w:hAnsi="Garamond"/>
        </w:rPr>
        <w:tab/>
      </w:r>
    </w:p>
    <w:p w:rsidR="000A5497" w:rsidRDefault="000A5497" w:rsidP="00385223">
      <w:pPr>
        <w:pStyle w:val="Default"/>
        <w:rPr>
          <w:rFonts w:ascii="Garamond" w:hAnsi="Garamond"/>
        </w:rPr>
      </w:pPr>
    </w:p>
    <w:p w:rsidR="000A5497" w:rsidRPr="00385223" w:rsidRDefault="000A5497" w:rsidP="00385223">
      <w:pPr>
        <w:pStyle w:val="Default"/>
        <w:rPr>
          <w:rFonts w:ascii="Garamond" w:hAnsi="Garamond"/>
        </w:rPr>
      </w:pPr>
    </w:p>
    <w:p w:rsidR="00556427" w:rsidRPr="00C16FA6" w:rsidRDefault="00385223" w:rsidP="008C3662">
      <w:pPr>
        <w:spacing w:before="15" w:after="15" w:line="225" w:lineRule="atLeast"/>
        <w:ind w:left="30" w:right="30"/>
        <w:jc w:val="both"/>
        <w:rPr>
          <w:rFonts w:ascii="Garamond" w:hAnsi="Garamond"/>
          <w:b/>
          <w:sz w:val="24"/>
          <w:szCs w:val="24"/>
        </w:rPr>
      </w:pPr>
      <w:r w:rsidRPr="00385223">
        <w:rPr>
          <w:rFonts w:ascii="Garamond" w:hAnsi="Garamond"/>
          <w:sz w:val="24"/>
          <w:szCs w:val="24"/>
        </w:rPr>
        <w:t xml:space="preserve"> </w:t>
      </w:r>
      <w:r w:rsidRPr="00385223">
        <w:rPr>
          <w:rFonts w:ascii="Garamond" w:hAnsi="Garamond"/>
          <w:b/>
          <w:bCs/>
          <w:sz w:val="24"/>
          <w:szCs w:val="24"/>
        </w:rPr>
        <w:t xml:space="preserve">Oggetto: </w:t>
      </w:r>
      <w:r w:rsidR="008C3662" w:rsidRPr="00B94DFD">
        <w:rPr>
          <w:rFonts w:ascii="Garamond" w:eastAsiaTheme="minorHAnsi" w:hAnsi="Garamond"/>
          <w:sz w:val="24"/>
          <w:szCs w:val="24"/>
          <w:lang w:eastAsia="en-US"/>
        </w:rPr>
        <w:t xml:space="preserve">Fornitura di </w:t>
      </w:r>
      <w:r w:rsidR="008C3662">
        <w:rPr>
          <w:rFonts w:ascii="Garamond" w:eastAsiaTheme="minorHAnsi" w:hAnsi="Garamond"/>
          <w:sz w:val="24"/>
          <w:szCs w:val="24"/>
          <w:lang w:eastAsia="en-US"/>
        </w:rPr>
        <w:t>n.2 apparecchi telefonici</w:t>
      </w:r>
      <w:r w:rsidR="008C3662" w:rsidRPr="00B94DFD">
        <w:rPr>
          <w:rFonts w:ascii="Garamond" w:eastAsiaTheme="minorHAnsi" w:hAnsi="Garamond"/>
          <w:sz w:val="24"/>
          <w:szCs w:val="24"/>
          <w:lang w:eastAsia="en-US"/>
        </w:rPr>
        <w:t xml:space="preserve"> e </w:t>
      </w:r>
      <w:r w:rsidR="008C3662">
        <w:rPr>
          <w:rFonts w:ascii="Garamond" w:eastAsiaTheme="minorHAnsi" w:hAnsi="Garamond"/>
          <w:sz w:val="24"/>
          <w:szCs w:val="24"/>
          <w:lang w:eastAsia="en-US"/>
        </w:rPr>
        <w:t xml:space="preserve">la </w:t>
      </w:r>
      <w:r w:rsidR="008C3662" w:rsidRPr="00B94DFD">
        <w:rPr>
          <w:rFonts w:ascii="Garamond" w:eastAsiaTheme="minorHAnsi" w:hAnsi="Garamond"/>
          <w:sz w:val="24"/>
          <w:szCs w:val="24"/>
          <w:lang w:eastAsia="en-US"/>
        </w:rPr>
        <w:t>realizzazione di una nuova linea telefonica</w:t>
      </w:r>
      <w:r w:rsidR="008C3662">
        <w:rPr>
          <w:rFonts w:ascii="Garamond" w:eastAsiaTheme="minorHAnsi" w:hAnsi="Garamond"/>
          <w:sz w:val="24"/>
          <w:szCs w:val="24"/>
          <w:lang w:eastAsia="en-US"/>
        </w:rPr>
        <w:t xml:space="preserve"> interna </w:t>
      </w:r>
      <w:r w:rsidR="008C3662" w:rsidRPr="00B94DFD">
        <w:rPr>
          <w:rFonts w:ascii="Garamond" w:eastAsiaTheme="minorHAnsi" w:hAnsi="Garamond"/>
          <w:sz w:val="24"/>
          <w:szCs w:val="24"/>
          <w:lang w:eastAsia="en-US"/>
        </w:rPr>
        <w:t>CIG:</w:t>
      </w:r>
      <w:r w:rsidR="008C3662" w:rsidRPr="00AE1DD7">
        <w:rPr>
          <w:rFonts w:ascii="Garamond" w:eastAsiaTheme="minorHAnsi" w:hAnsi="Garamond"/>
          <w:sz w:val="24"/>
          <w:szCs w:val="24"/>
          <w:lang w:eastAsia="en-US"/>
        </w:rPr>
        <w:t xml:space="preserve"> </w:t>
      </w:r>
      <w:r w:rsidR="008C3662">
        <w:rPr>
          <w:rFonts w:ascii="Garamond" w:eastAsiaTheme="minorHAnsi" w:hAnsi="Garamond"/>
          <w:sz w:val="24"/>
          <w:szCs w:val="24"/>
          <w:lang w:eastAsia="en-US"/>
        </w:rPr>
        <w:t>Z943D146F6.</w:t>
      </w:r>
      <w:r w:rsidR="00CC2500" w:rsidRPr="00CC2500">
        <w:rPr>
          <w:rFonts w:ascii="Garamond" w:hAnsi="Garamond"/>
          <w:sz w:val="24"/>
          <w:szCs w:val="24"/>
        </w:rPr>
        <w:t xml:space="preserve"> </w:t>
      </w:r>
      <w:r w:rsidR="00CC2500">
        <w:rPr>
          <w:rFonts w:ascii="Garamond" w:hAnsi="Garamond"/>
          <w:sz w:val="24"/>
          <w:szCs w:val="24"/>
        </w:rPr>
        <w:t xml:space="preserve">Ditta GREEN </w:t>
      </w:r>
      <w:proofErr w:type="gramStart"/>
      <w:r w:rsidR="00CC2500">
        <w:rPr>
          <w:rFonts w:ascii="Garamond" w:hAnsi="Garamond"/>
          <w:sz w:val="24"/>
          <w:szCs w:val="24"/>
        </w:rPr>
        <w:t>PLANET  di</w:t>
      </w:r>
      <w:proofErr w:type="gramEnd"/>
      <w:r w:rsidR="00CC2500">
        <w:rPr>
          <w:rFonts w:ascii="Garamond" w:hAnsi="Garamond"/>
          <w:sz w:val="24"/>
          <w:szCs w:val="24"/>
        </w:rPr>
        <w:t xml:space="preserve"> Guido Cantalini</w:t>
      </w:r>
      <w:r w:rsidR="00CC2500">
        <w:rPr>
          <w:rFonts w:ascii="Garamond" w:hAnsi="Garamond"/>
          <w:sz w:val="24"/>
          <w:szCs w:val="24"/>
        </w:rPr>
        <w:t>.</w:t>
      </w:r>
    </w:p>
    <w:p w:rsidR="00041296" w:rsidRDefault="00041296" w:rsidP="00041296">
      <w:pPr>
        <w:jc w:val="both"/>
        <w:rPr>
          <w:rFonts w:ascii="Garamond" w:hAnsi="Garamond"/>
          <w:sz w:val="24"/>
          <w:szCs w:val="24"/>
        </w:rPr>
      </w:pPr>
    </w:p>
    <w:p w:rsidR="00041296" w:rsidRPr="00CA7722" w:rsidRDefault="00041296" w:rsidP="00041296">
      <w:pPr>
        <w:jc w:val="both"/>
        <w:rPr>
          <w:rFonts w:ascii="Garamond" w:hAnsi="Garamond" w:cs="Garamond"/>
          <w:sz w:val="24"/>
          <w:szCs w:val="24"/>
        </w:rPr>
      </w:pPr>
    </w:p>
    <w:p w:rsidR="000A5497" w:rsidRDefault="000A5497" w:rsidP="00041296">
      <w:pPr>
        <w:spacing w:before="15" w:after="15" w:line="225" w:lineRule="atLeast"/>
        <w:ind w:left="30" w:right="30"/>
        <w:jc w:val="both"/>
        <w:rPr>
          <w:rFonts w:ascii="Garamond" w:hAnsi="Garamond"/>
          <w:i/>
          <w:iCs/>
        </w:rPr>
      </w:pPr>
    </w:p>
    <w:p w:rsidR="000A5497" w:rsidRDefault="000A5497" w:rsidP="000A5497">
      <w:pPr>
        <w:rPr>
          <w:sz w:val="22"/>
          <w:szCs w:val="22"/>
          <w:lang w:eastAsia="en-US"/>
        </w:rPr>
      </w:pPr>
    </w:p>
    <w:p w:rsidR="00385223" w:rsidRPr="00952CC0" w:rsidRDefault="000A5497" w:rsidP="00385223">
      <w:pPr>
        <w:autoSpaceDE w:val="0"/>
        <w:autoSpaceDN w:val="0"/>
        <w:adjustRightInd w:val="0"/>
        <w:jc w:val="both"/>
        <w:rPr>
          <w:sz w:val="24"/>
          <w:szCs w:val="24"/>
        </w:rPr>
      </w:pPr>
      <w:r>
        <w:rPr>
          <w:rFonts w:ascii="Garamond" w:hAnsi="Garamond"/>
          <w:b/>
          <w:bCs/>
          <w:sz w:val="24"/>
          <w:szCs w:val="24"/>
        </w:rPr>
        <w:t>V</w:t>
      </w:r>
      <w:r w:rsidR="00385223" w:rsidRPr="00385223">
        <w:rPr>
          <w:rFonts w:ascii="Garamond" w:hAnsi="Garamond"/>
          <w:b/>
          <w:bCs/>
          <w:sz w:val="24"/>
          <w:szCs w:val="24"/>
        </w:rPr>
        <w:t xml:space="preserve">isto </w:t>
      </w:r>
      <w:r w:rsidR="00385223" w:rsidRPr="00385223">
        <w:rPr>
          <w:rFonts w:ascii="Garamond" w:hAnsi="Garamond"/>
          <w:sz w:val="24"/>
          <w:szCs w:val="24"/>
        </w:rPr>
        <w:t>il decreto legislativo 31 marzo 2023, n. 36, recante “Codice dei contratti pubblici” ed i relativi allegati</w:t>
      </w:r>
      <w:r w:rsidR="00385223" w:rsidRPr="00952CC0">
        <w:rPr>
          <w:sz w:val="24"/>
          <w:szCs w:val="24"/>
        </w:rPr>
        <w:t>;</w:t>
      </w:r>
    </w:p>
    <w:p w:rsidR="00385223" w:rsidRPr="00385223" w:rsidRDefault="00385223" w:rsidP="00385223">
      <w:pPr>
        <w:pStyle w:val="Default"/>
        <w:jc w:val="both"/>
        <w:rPr>
          <w:rFonts w:ascii="Garamond" w:hAnsi="Garamond"/>
        </w:rPr>
      </w:pPr>
      <w:r w:rsidRPr="00385223">
        <w:rPr>
          <w:rFonts w:ascii="Garamond" w:hAnsi="Garamond"/>
          <w:b/>
          <w:bCs/>
        </w:rPr>
        <w:t xml:space="preserve">Visto </w:t>
      </w:r>
      <w:r w:rsidRPr="00385223">
        <w:rPr>
          <w:rFonts w:ascii="Garamond" w:hAnsi="Garamond"/>
        </w:rPr>
        <w:t xml:space="preserve">l’art. 36 il Decreto del Presidente del Consiglio di Stato n. 225 del 23 novembre 2020 contenente le modifiche al “Regolamento per l’esercizio dell’autonomia finanziaria da parte della Giustizia Amministrativa nella seduta del 17 settembre 2020”; </w:t>
      </w:r>
    </w:p>
    <w:p w:rsidR="00041296" w:rsidRDefault="00041296" w:rsidP="00385223">
      <w:pPr>
        <w:pStyle w:val="Default"/>
        <w:jc w:val="both"/>
        <w:rPr>
          <w:rFonts w:ascii="Garamond" w:hAnsi="Garamond"/>
          <w:b/>
          <w:bCs/>
        </w:rPr>
      </w:pPr>
    </w:p>
    <w:p w:rsidR="00CC2500" w:rsidRDefault="00CC2500" w:rsidP="00385223">
      <w:pPr>
        <w:pStyle w:val="Default"/>
        <w:jc w:val="both"/>
        <w:rPr>
          <w:rFonts w:ascii="Garamond" w:hAnsi="Garamond"/>
          <w:b/>
          <w:bCs/>
        </w:rPr>
      </w:pPr>
      <w:r>
        <w:rPr>
          <w:rFonts w:ascii="Garamond" w:hAnsi="Garamond"/>
          <w:b/>
          <w:bCs/>
        </w:rPr>
        <w:t xml:space="preserve">Visti </w:t>
      </w:r>
      <w:r w:rsidRPr="00CC2500">
        <w:rPr>
          <w:rFonts w:ascii="Garamond" w:hAnsi="Garamond"/>
          <w:bCs/>
        </w:rPr>
        <w:t>gli atti di gara;</w:t>
      </w:r>
    </w:p>
    <w:p w:rsidR="00041296" w:rsidRDefault="00385223" w:rsidP="00385223">
      <w:pPr>
        <w:pStyle w:val="Default"/>
        <w:jc w:val="both"/>
        <w:rPr>
          <w:rFonts w:ascii="Garamond" w:hAnsi="Garamond"/>
          <w:b/>
          <w:bCs/>
        </w:rPr>
      </w:pPr>
      <w:r w:rsidRPr="00385223">
        <w:rPr>
          <w:rFonts w:ascii="Garamond" w:hAnsi="Garamond"/>
          <w:b/>
          <w:bCs/>
        </w:rPr>
        <w:t xml:space="preserve"> </w:t>
      </w:r>
    </w:p>
    <w:p w:rsidR="00385223" w:rsidRDefault="00385223" w:rsidP="00385223">
      <w:pPr>
        <w:pStyle w:val="Default"/>
        <w:jc w:val="both"/>
        <w:rPr>
          <w:rFonts w:ascii="Garamond" w:hAnsi="Garamond"/>
        </w:rPr>
      </w:pPr>
      <w:r w:rsidRPr="00385223">
        <w:rPr>
          <w:rFonts w:ascii="Garamond" w:hAnsi="Garamond"/>
          <w:b/>
          <w:bCs/>
        </w:rPr>
        <w:t xml:space="preserve">Considerato </w:t>
      </w:r>
      <w:r w:rsidRPr="00385223">
        <w:rPr>
          <w:rFonts w:ascii="Garamond" w:hAnsi="Garamond"/>
        </w:rPr>
        <w:t>che il presente certificato viene rilasciato dallo scrivente R.U.P. e direttore dell’esecuzione in riferiment</w:t>
      </w:r>
      <w:r>
        <w:rPr>
          <w:rFonts w:ascii="Garamond" w:hAnsi="Garamond"/>
        </w:rPr>
        <w:t>o all’affidamento in argomento</w:t>
      </w:r>
    </w:p>
    <w:p w:rsidR="00642C68" w:rsidRDefault="00642C68" w:rsidP="00385223">
      <w:pPr>
        <w:pStyle w:val="Default"/>
        <w:jc w:val="both"/>
        <w:rPr>
          <w:rFonts w:ascii="Garamond" w:hAnsi="Garamond"/>
        </w:rPr>
      </w:pPr>
    </w:p>
    <w:p w:rsidR="00385223" w:rsidRPr="00385223" w:rsidRDefault="00385223" w:rsidP="00385223">
      <w:pPr>
        <w:pStyle w:val="Default"/>
        <w:jc w:val="both"/>
        <w:rPr>
          <w:rFonts w:ascii="Garamond" w:hAnsi="Garamond"/>
        </w:rPr>
      </w:pPr>
    </w:p>
    <w:p w:rsidR="00385223" w:rsidRPr="00385223" w:rsidRDefault="00385223" w:rsidP="00385223">
      <w:pPr>
        <w:pStyle w:val="Default"/>
        <w:jc w:val="center"/>
        <w:rPr>
          <w:rFonts w:ascii="Garamond" w:hAnsi="Garamond"/>
        </w:rPr>
      </w:pPr>
      <w:r w:rsidRPr="00385223">
        <w:rPr>
          <w:rFonts w:ascii="Garamond" w:hAnsi="Garamond"/>
          <w:b/>
          <w:bCs/>
        </w:rPr>
        <w:t>CERTIFICA</w:t>
      </w:r>
    </w:p>
    <w:p w:rsidR="00385223" w:rsidRDefault="00385223" w:rsidP="00385223">
      <w:pPr>
        <w:pStyle w:val="Default"/>
        <w:jc w:val="both"/>
        <w:rPr>
          <w:rFonts w:ascii="Garamond" w:hAnsi="Garamond"/>
        </w:rPr>
      </w:pPr>
    </w:p>
    <w:p w:rsidR="00385223" w:rsidRDefault="00385223" w:rsidP="00385223">
      <w:pPr>
        <w:pStyle w:val="Default"/>
        <w:jc w:val="both"/>
        <w:rPr>
          <w:rFonts w:ascii="Garamond" w:hAnsi="Garamond"/>
        </w:rPr>
      </w:pPr>
    </w:p>
    <w:p w:rsidR="00385223" w:rsidRPr="00385223" w:rsidRDefault="00CC2500" w:rsidP="00385223">
      <w:pPr>
        <w:pStyle w:val="Default"/>
        <w:jc w:val="both"/>
        <w:rPr>
          <w:rFonts w:ascii="Garamond" w:hAnsi="Garamond"/>
        </w:rPr>
      </w:pPr>
      <w:r>
        <w:rPr>
          <w:rFonts w:ascii="Garamond" w:hAnsi="Garamond"/>
        </w:rPr>
        <w:t>la regolare esecuzione dei lavori</w:t>
      </w:r>
      <w:bookmarkStart w:id="0" w:name="_GoBack"/>
      <w:bookmarkEnd w:id="0"/>
      <w:r w:rsidR="00385223" w:rsidRPr="00385223">
        <w:rPr>
          <w:rFonts w:ascii="Garamond" w:hAnsi="Garamond"/>
        </w:rPr>
        <w:t xml:space="preserve"> di cui al</w:t>
      </w:r>
      <w:r w:rsidR="00556427">
        <w:rPr>
          <w:rFonts w:ascii="Garamond" w:hAnsi="Garamond"/>
        </w:rPr>
        <w:t>l’oggetto da parte della ditta</w:t>
      </w:r>
      <w:r w:rsidR="00385223" w:rsidRPr="00385223">
        <w:rPr>
          <w:rFonts w:ascii="Garamond" w:hAnsi="Garamond"/>
        </w:rPr>
        <w:t xml:space="preserve"> affidataria. </w:t>
      </w:r>
    </w:p>
    <w:p w:rsidR="00385223" w:rsidRDefault="00385223" w:rsidP="00385223">
      <w:pPr>
        <w:pStyle w:val="Default"/>
        <w:jc w:val="both"/>
        <w:rPr>
          <w:rFonts w:ascii="Garamond" w:hAnsi="Garamond"/>
        </w:rPr>
      </w:pPr>
    </w:p>
    <w:p w:rsidR="00385223" w:rsidRDefault="00385223" w:rsidP="00385223">
      <w:pPr>
        <w:pStyle w:val="Default"/>
        <w:jc w:val="both"/>
        <w:rPr>
          <w:rFonts w:ascii="Garamond" w:hAnsi="Garamond"/>
        </w:rPr>
      </w:pPr>
    </w:p>
    <w:p w:rsidR="00642C68" w:rsidRDefault="00642C68" w:rsidP="00385223">
      <w:pPr>
        <w:pStyle w:val="Default"/>
        <w:jc w:val="both"/>
        <w:rPr>
          <w:rFonts w:ascii="Garamond" w:hAnsi="Garamond"/>
        </w:rPr>
      </w:pPr>
    </w:p>
    <w:p w:rsidR="00385223" w:rsidRPr="00385223" w:rsidRDefault="00385223" w:rsidP="00385223">
      <w:pPr>
        <w:pStyle w:val="Default"/>
        <w:jc w:val="center"/>
        <w:rPr>
          <w:rFonts w:ascii="Garamond" w:hAnsi="Garamond"/>
        </w:rPr>
      </w:pPr>
      <w:r w:rsidRPr="00385223">
        <w:rPr>
          <w:rFonts w:ascii="Garamond" w:hAnsi="Garamond"/>
        </w:rPr>
        <w:t>Il RUP-DIRETTORE DI ESECUZIONE</w:t>
      </w:r>
    </w:p>
    <w:p w:rsidR="000310A8" w:rsidRPr="00385223" w:rsidRDefault="00385223" w:rsidP="00385223">
      <w:pPr>
        <w:pStyle w:val="Corpodeltesto2"/>
        <w:jc w:val="center"/>
        <w:rPr>
          <w:rFonts w:ascii="Garamond" w:hAnsi="Garamond"/>
          <w:b/>
          <w:bCs/>
          <w:iCs/>
        </w:rPr>
      </w:pPr>
      <w:r w:rsidRPr="00385223">
        <w:rPr>
          <w:rFonts w:ascii="Garamond" w:hAnsi="Garamond"/>
        </w:rPr>
        <w:t>Valeria Bergamotto</w:t>
      </w:r>
    </w:p>
    <w:p w:rsidR="00A532CA" w:rsidRDefault="00CC2500" w:rsidP="00385223">
      <w:pPr>
        <w:tabs>
          <w:tab w:val="left" w:pos="930"/>
        </w:tabs>
        <w:jc w:val="center"/>
        <w:rPr>
          <w:rFonts w:ascii="Garamond" w:hAnsi="Garamond"/>
          <w:sz w:val="24"/>
          <w:szCs w:val="24"/>
        </w:rPr>
      </w:pPr>
    </w:p>
    <w:p w:rsidR="00284C62" w:rsidRPr="00385223" w:rsidRDefault="00284C62" w:rsidP="00385223">
      <w:pPr>
        <w:tabs>
          <w:tab w:val="left" w:pos="930"/>
        </w:tabs>
        <w:jc w:val="center"/>
        <w:rPr>
          <w:rFonts w:ascii="Garamond" w:hAnsi="Garamond"/>
          <w:sz w:val="24"/>
          <w:szCs w:val="24"/>
        </w:rPr>
      </w:pPr>
    </w:p>
    <w:sectPr w:rsidR="00284C62" w:rsidRPr="00385223" w:rsidSect="004D60FB">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FB"/>
    <w:rsid w:val="000310A8"/>
    <w:rsid w:val="00041296"/>
    <w:rsid w:val="0004193A"/>
    <w:rsid w:val="000A5497"/>
    <w:rsid w:val="001C46D4"/>
    <w:rsid w:val="00284C62"/>
    <w:rsid w:val="0033311B"/>
    <w:rsid w:val="00385223"/>
    <w:rsid w:val="004D60FB"/>
    <w:rsid w:val="00556427"/>
    <w:rsid w:val="00642C68"/>
    <w:rsid w:val="008C3662"/>
    <w:rsid w:val="00A85D2D"/>
    <w:rsid w:val="00CC2500"/>
    <w:rsid w:val="00EF1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9065"/>
  <w15:chartTrackingRefBased/>
  <w15:docId w15:val="{33898697-9E5E-4A68-A5E0-EDFBB1C0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60FB"/>
    <w:pPr>
      <w:spacing w:after="120" w:line="285" w:lineRule="auto"/>
    </w:pPr>
    <w:rPr>
      <w:rFonts w:ascii="Calibri" w:eastAsia="Times New Roman" w:hAnsi="Calibri" w:cs="Calibri"/>
      <w:color w:val="000000"/>
      <w:kern w:val="28"/>
      <w:sz w:val="20"/>
      <w:szCs w:val="20"/>
      <w:lang w:eastAsia="it-IT"/>
      <w14:ligatures w14:val="standard"/>
      <w14:cntxtAlts/>
    </w:rPr>
  </w:style>
  <w:style w:type="paragraph" w:styleId="Titolo4">
    <w:name w:val="heading 4"/>
    <w:link w:val="Titolo4Carattere"/>
    <w:uiPriority w:val="9"/>
    <w:qFormat/>
    <w:rsid w:val="004D60FB"/>
    <w:pPr>
      <w:spacing w:after="320" w:line="285" w:lineRule="auto"/>
      <w:outlineLvl w:val="3"/>
    </w:pPr>
    <w:rPr>
      <w:rFonts w:ascii="Cambria" w:eastAsia="Times New Roman" w:hAnsi="Cambria" w:cs="Times New Roman"/>
      <w:color w:val="000000"/>
      <w:kern w:val="28"/>
      <w:sz w:val="24"/>
      <w:szCs w:val="24"/>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4D60FB"/>
    <w:rPr>
      <w:rFonts w:ascii="Cambria" w:eastAsia="Times New Roman" w:hAnsi="Cambria" w:cs="Times New Roman"/>
      <w:color w:val="000000"/>
      <w:kern w:val="28"/>
      <w:sz w:val="24"/>
      <w:szCs w:val="24"/>
      <w:lang w:eastAsia="it-IT"/>
      <w14:ligatures w14:val="standard"/>
      <w14:cntxtAlts/>
    </w:rPr>
  </w:style>
  <w:style w:type="paragraph" w:styleId="Corpodeltesto2">
    <w:name w:val="Body Text 2"/>
    <w:basedOn w:val="Normale"/>
    <w:link w:val="Corpodeltesto2Carattere"/>
    <w:rsid w:val="000310A8"/>
    <w:pPr>
      <w:tabs>
        <w:tab w:val="left" w:pos="1418"/>
      </w:tabs>
      <w:suppressAutoHyphens/>
      <w:autoSpaceDN w:val="0"/>
      <w:spacing w:after="0" w:line="240" w:lineRule="auto"/>
      <w:jc w:val="both"/>
      <w:textAlignment w:val="baseline"/>
    </w:pPr>
    <w:rPr>
      <w:rFonts w:ascii="Arial" w:hAnsi="Arial" w:cs="Arial"/>
      <w:color w:val="auto"/>
      <w:kern w:val="3"/>
      <w:sz w:val="24"/>
      <w:szCs w:val="24"/>
      <w:lang w:eastAsia="zh-CN"/>
      <w14:ligatures w14:val="none"/>
      <w14:cntxtAlts w14:val="0"/>
    </w:rPr>
  </w:style>
  <w:style w:type="character" w:customStyle="1" w:styleId="Corpodeltesto2Carattere">
    <w:name w:val="Corpo del testo 2 Carattere"/>
    <w:basedOn w:val="Carpredefinitoparagrafo"/>
    <w:link w:val="Corpodeltesto2"/>
    <w:rsid w:val="000310A8"/>
    <w:rPr>
      <w:rFonts w:ascii="Arial" w:eastAsia="Times New Roman" w:hAnsi="Arial" w:cs="Arial"/>
      <w:kern w:val="3"/>
      <w:sz w:val="24"/>
      <w:szCs w:val="24"/>
      <w:lang w:eastAsia="zh-CN"/>
    </w:rPr>
  </w:style>
  <w:style w:type="paragraph" w:customStyle="1" w:styleId="Default">
    <w:name w:val="Default"/>
    <w:rsid w:val="00385223"/>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85223"/>
    <w:pPr>
      <w:spacing w:after="49" w:line="234" w:lineRule="auto"/>
      <w:ind w:left="720" w:hanging="10"/>
      <w:contextualSpacing/>
      <w:jc w:val="both"/>
    </w:pPr>
    <w:rPr>
      <w:rFonts w:ascii="Garamond" w:eastAsia="Garamond" w:hAnsi="Garamond" w:cs="Garamond"/>
      <w:kern w:val="0"/>
      <w:sz w:val="24"/>
      <w:szCs w:val="22"/>
      <w14:ligatures w14:val="none"/>
      <w14:cntxtAlts w14:val="0"/>
    </w:rPr>
  </w:style>
  <w:style w:type="character" w:styleId="Collegamentoipertestuale">
    <w:name w:val="Hyperlink"/>
    <w:basedOn w:val="Carpredefinitoparagrafo"/>
    <w:uiPriority w:val="99"/>
    <w:semiHidden/>
    <w:unhideWhenUsed/>
    <w:rsid w:val="000A54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1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MACINA Daniela</dc:creator>
  <cp:keywords/>
  <dc:description/>
  <cp:lastModifiedBy>BERGAMOTTO Valeria</cp:lastModifiedBy>
  <cp:revision>3</cp:revision>
  <cp:lastPrinted>2023-11-09T10:40:00Z</cp:lastPrinted>
  <dcterms:created xsi:type="dcterms:W3CDTF">2023-12-11T13:36:00Z</dcterms:created>
  <dcterms:modified xsi:type="dcterms:W3CDTF">2023-12-11T13:38:00Z</dcterms:modified>
</cp:coreProperties>
</file>