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99035D"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>Affidamento del servizio di pulizia straordinaria della sede del tribunale Amministrativo del Piemonte per il periodo dal 1^gennaio al 31 marzo 202</w:t>
      </w:r>
      <w:r w:rsidR="003153E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bookmarkStart w:id="0" w:name="_GoBack"/>
      <w:bookmarkEnd w:id="0"/>
      <w:r w:rsidR="0099035D" w:rsidRPr="009903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CIGZ8334B78A5</w:t>
      </w: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F0191"/>
    <w:rsid w:val="002C6BCC"/>
    <w:rsid w:val="002D66FD"/>
    <w:rsid w:val="003153ED"/>
    <w:rsid w:val="003C452B"/>
    <w:rsid w:val="004C19D3"/>
    <w:rsid w:val="00504512"/>
    <w:rsid w:val="005E1A7A"/>
    <w:rsid w:val="005E6211"/>
    <w:rsid w:val="00686363"/>
    <w:rsid w:val="006C0E75"/>
    <w:rsid w:val="0075048F"/>
    <w:rsid w:val="00756580"/>
    <w:rsid w:val="00940CB3"/>
    <w:rsid w:val="0099035D"/>
    <w:rsid w:val="00994A94"/>
    <w:rsid w:val="00997EC3"/>
    <w:rsid w:val="00B6192F"/>
    <w:rsid w:val="00C3597C"/>
    <w:rsid w:val="00D5792C"/>
    <w:rsid w:val="00D82545"/>
    <w:rsid w:val="00F8266E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1FEA-E82C-4926-89F1-69CB359C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25</cp:revision>
  <dcterms:created xsi:type="dcterms:W3CDTF">2019-09-19T07:34:00Z</dcterms:created>
  <dcterms:modified xsi:type="dcterms:W3CDTF">2022-01-05T09:37:00Z</dcterms:modified>
</cp:coreProperties>
</file>