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095CA2" w:rsidRPr="00095CA2">
        <w:rPr>
          <w:rFonts w:ascii="Times New Roman" w:hAnsi="Times New Roman" w:cs="Times New Roman"/>
          <w:bCs/>
          <w:color w:val="000000"/>
          <w:sz w:val="24"/>
          <w:szCs w:val="24"/>
        </w:rPr>
        <w:t>Procedura per affidamento diretto del lavoro di pitturazione di un ufficio del TAR Piemonte – CIG Z1E3A02128</w:t>
      </w:r>
      <w:bookmarkStart w:id="0" w:name="_GoBack"/>
      <w:bookmarkEnd w:id="0"/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95CA2"/>
    <w:rsid w:val="000C2155"/>
    <w:rsid w:val="001E4908"/>
    <w:rsid w:val="001F0191"/>
    <w:rsid w:val="002A6752"/>
    <w:rsid w:val="002C6BCC"/>
    <w:rsid w:val="002D66FD"/>
    <w:rsid w:val="003153ED"/>
    <w:rsid w:val="003C452B"/>
    <w:rsid w:val="0042020E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16B3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944F-0C5B-4646-B6AD-17E4AE69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38</cp:revision>
  <dcterms:created xsi:type="dcterms:W3CDTF">2019-09-19T07:34:00Z</dcterms:created>
  <dcterms:modified xsi:type="dcterms:W3CDTF">2023-02-17T10:31:00Z</dcterms:modified>
</cp:coreProperties>
</file>